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01" w:rsidRPr="001F2CD2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 w:rsidR="001130F9">
        <w:rPr>
          <w:rFonts w:ascii="Cambria" w:hAnsi="Cambria"/>
          <w:bCs/>
          <w:sz w:val="22"/>
          <w:szCs w:val="20"/>
          <w:lang w:eastAsia="pl-PL"/>
        </w:rPr>
        <w:t>4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:rsidR="00A01501" w:rsidRDefault="00A01501" w:rsidP="00A01501">
      <w:pPr>
        <w:rPr>
          <w:rFonts w:ascii="Arial" w:hAnsi="Arial" w:cs="Arial"/>
          <w:sz w:val="20"/>
        </w:rPr>
      </w:pPr>
    </w:p>
    <w:p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:rsidR="00A01501" w:rsidRDefault="00A01501" w:rsidP="008A2F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 w:rsidR="00D11FFD">
        <w:rPr>
          <w:rFonts w:ascii="Arial" w:hAnsi="Arial" w:cs="Arial"/>
          <w:b/>
          <w:bCs/>
          <w:color w:val="000000"/>
          <w:sz w:val="20"/>
          <w:szCs w:val="20"/>
        </w:rPr>
        <w:t>GZGK</w:t>
      </w:r>
      <w:r w:rsidR="008A2FFE">
        <w:rPr>
          <w:rFonts w:ascii="Arial" w:hAnsi="Arial" w:cs="Arial"/>
          <w:b/>
          <w:bCs/>
          <w:color w:val="000000"/>
          <w:sz w:val="20"/>
          <w:szCs w:val="20"/>
        </w:rPr>
        <w:t>.272.1.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:rsidR="008A2FFE" w:rsidRDefault="008A2FFE" w:rsidP="008A2FFE">
      <w:pPr>
        <w:jc w:val="center"/>
        <w:rPr>
          <w:rFonts w:ascii="Arial" w:hAnsi="Arial" w:cs="Arial"/>
          <w:sz w:val="22"/>
        </w:rPr>
      </w:pPr>
    </w:p>
    <w:p w:rsidR="00A01501" w:rsidRPr="00F30421" w:rsidRDefault="00A01501" w:rsidP="00A01501">
      <w:pPr>
        <w:spacing w:after="60"/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Zawarta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dniu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….</w:t>
      </w:r>
      <w:r w:rsidRPr="007679A4">
        <w:rPr>
          <w:rFonts w:ascii="Arial" w:hAnsi="Arial" w:cs="Arial"/>
          <w:b/>
          <w:sz w:val="20"/>
          <w:szCs w:val="20"/>
          <w:shd w:val="clear" w:color="auto" w:fill="FFFF00"/>
        </w:rPr>
        <w:t>………..</w:t>
      </w:r>
      <w:r w:rsidRPr="007679A4">
        <w:rPr>
          <w:rFonts w:ascii="Arial" w:hAnsi="Arial" w:cs="Arial"/>
          <w:sz w:val="20"/>
          <w:szCs w:val="20"/>
          <w:shd w:val="clear" w:color="auto" w:fill="FFFF00"/>
        </w:rPr>
        <w:t>.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pomiędzy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eastAsia="Arial" w:hAnsi="Arial" w:cs="Arial"/>
          <w:sz w:val="20"/>
          <w:szCs w:val="20"/>
        </w:rPr>
        <w:t>Gminą Wadowice Górne</w:t>
      </w:r>
      <w:r w:rsidR="00363B6C">
        <w:rPr>
          <w:rFonts w:ascii="Arial" w:eastAsia="Arial" w:hAnsi="Arial" w:cs="Arial"/>
          <w:sz w:val="20"/>
          <w:szCs w:val="20"/>
        </w:rPr>
        <w:t>, 39-308 Wadowice Górne 116, NIP: 8172175250</w:t>
      </w:r>
      <w:r w:rsidR="00F64467">
        <w:rPr>
          <w:rFonts w:ascii="Arial" w:eastAsia="Arial" w:hAnsi="Arial" w:cs="Arial"/>
          <w:sz w:val="20"/>
          <w:szCs w:val="20"/>
        </w:rPr>
        <w:t xml:space="preserve"> w imieniu której działa </w:t>
      </w:r>
      <w:r w:rsidR="00F64467">
        <w:rPr>
          <w:rFonts w:ascii="Arial" w:hAnsi="Arial" w:cs="Arial"/>
          <w:b/>
          <w:sz w:val="20"/>
          <w:szCs w:val="20"/>
        </w:rPr>
        <w:t>Gminny Zakład</w:t>
      </w:r>
      <w:r w:rsidR="00D11FFD">
        <w:rPr>
          <w:rFonts w:ascii="Arial" w:hAnsi="Arial" w:cs="Arial"/>
          <w:b/>
          <w:sz w:val="20"/>
          <w:szCs w:val="20"/>
        </w:rPr>
        <w:t xml:space="preserve"> Komunalny w Wadowicach Górnych</w:t>
      </w:r>
      <w:r w:rsidR="00363B6C">
        <w:rPr>
          <w:rFonts w:ascii="Arial" w:hAnsi="Arial" w:cs="Arial"/>
          <w:b/>
          <w:sz w:val="20"/>
          <w:szCs w:val="20"/>
        </w:rPr>
        <w:t xml:space="preserve">, Przebendów 44, 39-308 Wadowice Górne 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hAnsi="Arial" w:cs="Arial"/>
          <w:sz w:val="20"/>
          <w:szCs w:val="20"/>
        </w:rPr>
        <w:t>reprezentowany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:rsidR="00A01501" w:rsidRPr="00F30421" w:rsidRDefault="00D11FFD" w:rsidP="00A01501">
      <w:pPr>
        <w:widowControl/>
        <w:numPr>
          <w:ilvl w:val="0"/>
          <w:numId w:val="38"/>
        </w:numPr>
        <w:tabs>
          <w:tab w:val="clear" w:pos="0"/>
          <w:tab w:val="left" w:pos="720"/>
        </w:tabs>
        <w:overflowPunct/>
        <w:spacing w:after="60"/>
        <w:ind w:left="72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Mariana Żmudę </w:t>
      </w:r>
      <w:r w:rsidR="00A01501"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Dyrektora GZGK w Wadowicach Górnych </w:t>
      </w:r>
    </w:p>
    <w:p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F30421">
        <w:rPr>
          <w:rFonts w:ascii="Arial" w:hAnsi="Arial" w:cs="Arial"/>
          <w:b/>
          <w:sz w:val="20"/>
          <w:szCs w:val="20"/>
        </w:rPr>
        <w:t>przy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kontrasygnacie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Głównej Księgowej – </w:t>
      </w:r>
      <w:r w:rsidR="00390E56">
        <w:rPr>
          <w:rFonts w:ascii="Arial" w:eastAsia="Arial" w:hAnsi="Arial" w:cs="Arial"/>
          <w:b/>
          <w:sz w:val="20"/>
          <w:szCs w:val="20"/>
        </w:rPr>
        <w:t xml:space="preserve">Pani </w:t>
      </w:r>
      <w:r w:rsidR="00D11FFD">
        <w:rPr>
          <w:rFonts w:ascii="Arial" w:eastAsia="Arial" w:hAnsi="Arial" w:cs="Arial"/>
          <w:b/>
          <w:sz w:val="20"/>
          <w:szCs w:val="20"/>
        </w:rPr>
        <w:t>Haliny Kiełbasa</w:t>
      </w:r>
    </w:p>
    <w:p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Zamawiającym,</w:t>
      </w:r>
    </w:p>
    <w:p w:rsidR="00A01501" w:rsidRDefault="00363B6C" w:rsidP="00A0150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:rsidR="00864B21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</w:p>
    <w:p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:rsidR="008A2FFE" w:rsidRPr="00197914" w:rsidRDefault="00A01501" w:rsidP="008A2FFE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8A2FFE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bookmarkStart w:id="0" w:name="_Hlk115032620"/>
      <w:r w:rsidR="008A2FFE" w:rsidRPr="00AD56ED">
        <w:rPr>
          <w:rFonts w:ascii="Arial" w:hAnsi="Arial" w:cs="Arial"/>
          <w:b/>
          <w:bCs/>
          <w:iCs/>
          <w:sz w:val="20"/>
          <w:szCs w:val="20"/>
          <w:lang w:eastAsia="pl-PL"/>
        </w:rPr>
        <w:t>„</w:t>
      </w:r>
      <w:bookmarkStart w:id="1" w:name="_Hlk115031820"/>
      <w:r w:rsidR="008A2FFE" w:rsidRPr="00DB5489">
        <w:rPr>
          <w:rFonts w:ascii="Arial" w:hAnsi="Arial" w:cs="Arial"/>
          <w:b/>
          <w:bCs/>
          <w:iCs/>
          <w:sz w:val="20"/>
          <w:szCs w:val="20"/>
          <w:lang w:eastAsia="pl-PL"/>
        </w:rPr>
        <w:t>Przebudowa i nadbudowa budynku usługowo-biurowego z częścią mieszkalną, Przebendów 44, gmina Wadowice Górne</w:t>
      </w:r>
      <w:bookmarkEnd w:id="0"/>
      <w:bookmarkEnd w:id="1"/>
      <w:r w:rsidR="008A2FFE" w:rsidRPr="00AD56ED">
        <w:rPr>
          <w:rFonts w:ascii="Arial" w:hAnsi="Arial" w:cs="Arial"/>
          <w:b/>
          <w:bCs/>
          <w:iCs/>
          <w:sz w:val="20"/>
          <w:szCs w:val="20"/>
          <w:lang w:eastAsia="pl-PL"/>
        </w:rPr>
        <w:t>”</w:t>
      </w:r>
    </w:p>
    <w:p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bookmarkStart w:id="2" w:name="_GoBack"/>
      <w:bookmarkEnd w:id="2"/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SWZ </w:t>
      </w:r>
    </w:p>
    <w:p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 robót,</w:t>
      </w:r>
    </w:p>
    <w:p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STWiORB,</w:t>
      </w:r>
    </w:p>
    <w:p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dokumentacja projektowa,  </w:t>
      </w:r>
    </w:p>
    <w:p w:rsidR="00A01501" w:rsidRPr="00C47AE7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-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ab/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dokumentacją projektową i przedmiarem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STWiORB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niższej randze może nastąpić tylko i wyłącznie w razie oczywistej sprzeczności z dokumentami lub dokumentem rangi wyższej.  </w:t>
      </w:r>
    </w:p>
    <w:p w:rsidR="00A01501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Jeżeli w trakcie wykonywania robót, Zamawiający ograniczy zakres robót, bądź dokona zmian technologii, to wynagrodzenie Wykonawcy będzie korygowane o skutki wynikające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tych zmian wg średnich cen SEKOCENBUD i zgodnie z zasadami kosztorysowania robót budowalnych ( KNR)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. Przy czym zakres rzeczowy przedmiotu umowy nie może ulec ograniczeniu powyżej </w:t>
      </w:r>
      <w:r>
        <w:rPr>
          <w:rFonts w:ascii="Calibri" w:hAnsi="Calibri"/>
          <w:color w:val="000000"/>
          <w:kern w:val="0"/>
          <w:sz w:val="22"/>
          <w:szCs w:val="22"/>
        </w:rPr>
        <w:t>10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%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wartości netto wynagrodzenia Wykonawcy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bez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jego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zgody.</w:t>
      </w:r>
    </w:p>
    <w:p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lastRenderedPageBreak/>
        <w:t xml:space="preserve">Wykonawca zobowiązuje się wykonać wszystkie opisane dokumentacją prace i roboty budowlane, niezbędne do realizacji przedmiotu umowy. </w:t>
      </w:r>
    </w:p>
    <w:p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Przedmiar robót ma charakter pomocniczy i nie stanowi opisu przedmiotu zamówienia. Przedmiar robót nie determinuje zakresu prac objętych przedmiotem zamówienia. Zawarte w Przedmiarze robót zestawienia mają jedynie zobrazować skalę robót i pomóc Wykonawcom w oszacowaniu kosztów inwestycji. </w:t>
      </w:r>
    </w:p>
    <w:p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…………………………………..</w:t>
      </w:r>
    </w:p>
    <w:p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pkt. 10.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podstawie art. 95 ust. 1 ustawy Pzp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późn. zm.) tj. czynności pracowników fizycznych - monterów instalacji i pracowników robót ogólnobudowlanych. 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zostały wskazane w oświadczeniu Wykonawcy lub podwykonawcy (wraz z dokumentem regulującym zakres obowiązków, jeżeli został sporządzony). </w:t>
      </w:r>
    </w:p>
    <w:p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:rsidR="00A01501" w:rsidRPr="00C47AE7" w:rsidRDefault="00864B21" w:rsidP="00864B21">
      <w:pPr>
        <w:widowControl/>
        <w:overflowPunct/>
        <w:spacing w:after="120"/>
        <w:ind w:left="2832" w:firstLine="708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6. Odbiory.</w:t>
      </w:r>
    </w:p>
    <w:p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stwierdzenia wad i usterek, Wykonawca usunie je na własny koszt w terminie wyznaczonym przez Zamawiającego.</w:t>
      </w:r>
    </w:p>
    <w:p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A01501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7. Płatności</w:t>
      </w:r>
      <w:r w:rsidR="00A01501">
        <w:rPr>
          <w:rFonts w:ascii="Calibri" w:hAnsi="Calibri"/>
          <w:b/>
          <w:color w:val="auto"/>
          <w:kern w:val="0"/>
          <w:sz w:val="22"/>
          <w:szCs w:val="22"/>
        </w:rPr>
        <w:t xml:space="preserve"> i cesja wierzytelności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</w:t>
      </w:r>
    </w:p>
    <w:p w:rsidR="00A01501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864B21" w:rsidRPr="00C47AE7" w:rsidRDefault="00A01501" w:rsidP="00864B2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Płatność odbędzie się po zrealizowaniu całego zadania w oparciu o fakturę końcową.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końcowej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końcowego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inspektora nadzoru, przedstawiciela Zamawiającego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W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:rsidR="00864B21" w:rsidRPr="00A82011" w:rsidRDefault="00A01501" w:rsidP="00864B21">
      <w:pPr>
        <w:widowControl/>
        <w:overflowPunct/>
        <w:ind w:firstLine="29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2. </w:t>
      </w:r>
      <w:r w:rsidR="00864B21" w:rsidRPr="00A82011"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dopuszcza możliwość częściowego finansowania wykonanych prac.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częściowej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częściowego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 xml:space="preserve">inspektora nadzoru,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przedstawiciela Zamawiającego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sobie prawo rozliczenia płatności wynikających z umowy za pośrednictwem metody podzielonej płatności przewidziane w przepisach ustawy o podatku od towarów i usług.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rachunek bankowy wskazany w umowie: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a)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umożliwiającym płatność w ramach mechanizmu podzielonej płatności, o której mowa powyżej,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b)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Wynagrodzenie należne Wykonawcy za wykonanie umowy płatne będzie przez Zamawiającego na rachune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k bankowy Wykonawcy o numerze </w:t>
      </w:r>
      <w:r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, w </w:t>
      </w:r>
      <w:r>
        <w:rPr>
          <w:rFonts w:ascii="Calibri" w:hAnsi="Calibri"/>
          <w:color w:val="auto"/>
          <w:kern w:val="0"/>
          <w:sz w:val="22"/>
          <w:szCs w:val="22"/>
        </w:rPr>
        <w:t>terminie do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3</w:t>
      </w:r>
      <w:r w:rsidR="00BF2C4D">
        <w:rPr>
          <w:rFonts w:ascii="Calibri" w:hAnsi="Calibri"/>
          <w:color w:val="auto"/>
          <w:kern w:val="0"/>
          <w:sz w:val="22"/>
          <w:szCs w:val="22"/>
        </w:rPr>
        <w:t>0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dni od otrzymania przez Zamawiającego prawidłowo wystawionej faktury VAT.</w:t>
      </w:r>
    </w:p>
    <w:p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C15C3B">
        <w:rPr>
          <w:rFonts w:ascii="Calibri" w:hAnsi="Calibri"/>
          <w:color w:val="auto"/>
          <w:kern w:val="0"/>
          <w:sz w:val="22"/>
          <w:szCs w:val="22"/>
          <w:u w:val="single"/>
        </w:rPr>
        <w:t>Gmina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817-21-75-250</w:t>
      </w:r>
    </w:p>
    <w:p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="00EB7714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Gminny Zakład Gospodarki Komunalnej, Przebendów 44, 39-308 Wadowice Górne </w:t>
      </w:r>
    </w:p>
    <w:p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8.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 datę dokonania płatności uważa się datę przekazania polecenia przelewu.</w:t>
      </w:r>
    </w:p>
    <w:p w:rsidR="00A01501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9.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Strony postanawiają, iż w przypadku niewykonania przez Wykonawcę robót odpowiadających wartości wynagrodzenia określonego w § 5 ust. 1 z powodu zmniejszenia zakresu rzeczowego robót, Wykonawca nie ma prawa żądania zapłaty pozostałej części wynagrodzenia i nie przysługują mu żadne roszczenia odszkodowawcze wobec Zamawiającego w tym zakresie. W takim przypadku Zamawiający zapłaci na rzecz Wykonawcy wynagrodzenie, które ulegnie odpowiedniemu zmniejszeniu w stosunku do wynagrodzenia określonego w § 5 ust.1, co Wykonawca uznaje i akceptuje.</w:t>
      </w:r>
    </w:p>
    <w:p w:rsidR="00A01501" w:rsidRPr="00BF4310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10. Wykonawca nie może zbywać na rzecz osób trzecich praw i wierzytelności powstałych w wyniku realizacji niniejszej umowy bez zgody Zamawiającego, wyrażonej na piśmie pod rygorem nieważności.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8. Przedstawiciele stron</w:t>
      </w:r>
    </w:p>
    <w:p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Pan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9. Gwarancja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wystąpienia wad Zamawiający zgłosi je Wykonawcy niezwłocznie po ich ujawnieniu, wyznaczając termin na ich usunięcie.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Przed zakończeniem okresu gwarancji oraz po usunięciu ujawnionych w tym czasie wad, strony niniejszej umowy spiszą protokół odbioru pogwarancyjnego określającego stwierdzone wady w przedmiocie umowy.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10  Kary umowne</w:t>
      </w:r>
    </w:p>
    <w:p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Pzp.</w:t>
      </w:r>
    </w:p>
    <w:p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11. Odstąpienie od umowy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Wykonawca nie wypełni zobowiązań dotyczących zatrudniania osób zgodnie z art. 95 ust. 1 ustawy Pzp.</w:t>
      </w:r>
    </w:p>
    <w:p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Pzp).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:rsidR="00864B21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12. Podwykonawcy</w:t>
      </w:r>
    </w:p>
    <w:p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c) zawiera ona postanowienia niezgodne z art. 463 ustawy Pzp.</w:t>
      </w:r>
    </w:p>
    <w:p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:rsidR="00A01501" w:rsidRPr="00C47AE7" w:rsidRDefault="00A01501" w:rsidP="00A01501">
      <w:pPr>
        <w:widowControl/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13. Zmiana umowy</w:t>
      </w:r>
    </w:p>
    <w:p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:rsidR="00864B21" w:rsidRDefault="00864B2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14. Zabezpieczenie należytego wykonania umowy</w:t>
      </w:r>
    </w:p>
    <w:p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5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</w:p>
    <w:p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:rsidR="00A01501" w:rsidRPr="00F6013E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:rsidR="00A01501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Oferta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:rsidR="00A01501" w:rsidRPr="00234735" w:rsidRDefault="00F64467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Głównej Księgowej</w:t>
      </w:r>
    </w:p>
    <w:p w:rsidR="009132B0" w:rsidRDefault="009132B0"/>
    <w:sectPr w:rsidR="009132B0" w:rsidSect="00C838F5">
      <w:headerReference w:type="default" r:id="rId7"/>
      <w:footerReference w:type="default" r:id="rId8"/>
      <w:pgSz w:w="11906" w:h="16838"/>
      <w:pgMar w:top="720" w:right="720" w:bottom="720" w:left="720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2C" w:rsidRDefault="0082103B">
      <w:r>
        <w:separator/>
      </w:r>
    </w:p>
  </w:endnote>
  <w:endnote w:type="continuationSeparator" w:id="0">
    <w:p w:rsidR="0023742C" w:rsidRDefault="008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78" w:rsidRDefault="00A01501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B0A79">
      <w:rPr>
        <w:noProof/>
      </w:rPr>
      <w:t>2</w:t>
    </w:r>
    <w:r>
      <w:fldChar w:fldCharType="end"/>
    </w:r>
  </w:p>
  <w:p w:rsidR="00155978" w:rsidRDefault="002B0A79">
    <w:pPr>
      <w:pStyle w:val="Stopk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2C" w:rsidRDefault="0082103B">
      <w:r>
        <w:separator/>
      </w:r>
    </w:p>
  </w:footnote>
  <w:footnote w:type="continuationSeparator" w:id="0">
    <w:p w:rsidR="0023742C" w:rsidRDefault="008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F5" w:rsidRDefault="002B0A79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:rsidR="00C838F5" w:rsidRPr="009038A0" w:rsidRDefault="000D2EE7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Nr postępowania: GZGK.</w:t>
    </w:r>
    <w:r w:rsidR="00A01501" w:rsidRPr="009038A0">
      <w:rPr>
        <w:rFonts w:ascii="Arial" w:hAnsi="Arial" w:cs="Arial"/>
        <w:sz w:val="16"/>
        <w:szCs w:val="16"/>
        <w:lang w:eastAsia="pl-PL"/>
      </w:rPr>
      <w:t>271.</w:t>
    </w:r>
    <w:r w:rsidR="00A01501">
      <w:rPr>
        <w:rFonts w:ascii="Arial" w:hAnsi="Arial" w:cs="Arial"/>
        <w:sz w:val="16"/>
        <w:szCs w:val="16"/>
        <w:lang w:eastAsia="pl-PL"/>
      </w:rPr>
      <w:t>1.2022</w:t>
    </w:r>
  </w:p>
  <w:p w:rsidR="00C838F5" w:rsidRPr="009038A0" w:rsidRDefault="002B0A79" w:rsidP="00C838F5">
    <w:pPr>
      <w:tabs>
        <w:tab w:val="center" w:pos="4536"/>
        <w:tab w:val="right" w:pos="9072"/>
      </w:tabs>
      <w:suppressAutoHyphens w:val="0"/>
      <w:jc w:val="both"/>
      <w:rPr>
        <w:rFonts w:ascii="Arial" w:hAnsi="Arial" w:cs="Arial"/>
        <w:sz w:val="16"/>
        <w:szCs w:val="16"/>
        <w:lang w:eastAsia="pl-PL"/>
      </w:rPr>
    </w:pPr>
  </w:p>
  <w:p w:rsidR="001130F9" w:rsidRPr="00197914" w:rsidRDefault="000D2EE7" w:rsidP="001130F9">
    <w:pPr>
      <w:spacing w:line="276" w:lineRule="auto"/>
      <w:jc w:val="center"/>
      <w:rPr>
        <w:rFonts w:ascii="Arial" w:hAnsi="Arial" w:cs="Arial"/>
        <w:b/>
        <w:bCs/>
        <w:iCs/>
        <w:sz w:val="20"/>
        <w:szCs w:val="20"/>
        <w:lang w:eastAsia="pl-PL"/>
      </w:rPr>
    </w:pPr>
    <w:r>
      <w:rPr>
        <w:rFonts w:ascii="Arial" w:hAnsi="Arial" w:cs="Arial"/>
        <w:sz w:val="16"/>
        <w:szCs w:val="16"/>
        <w:lang w:eastAsia="pl-PL"/>
      </w:rPr>
      <w:t>Załącznik do Specyfikacji</w:t>
    </w:r>
    <w:r w:rsidR="00A01501" w:rsidRPr="009038A0">
      <w:rPr>
        <w:rFonts w:ascii="Arial" w:hAnsi="Arial" w:cs="Arial"/>
        <w:sz w:val="16"/>
        <w:szCs w:val="16"/>
        <w:lang w:eastAsia="pl-PL"/>
      </w:rPr>
      <w:t xml:space="preserve"> Warunków Zamówienia dla postępowania prowadzonego w trybie art. 275 pkt 1 ustawy p.z.p. (tryb podstawowy bez negocjacji) pn</w:t>
    </w:r>
    <w:r w:rsidR="00A01501" w:rsidRPr="001130F9">
      <w:rPr>
        <w:rFonts w:ascii="Arial" w:hAnsi="Arial" w:cs="Arial"/>
        <w:sz w:val="16"/>
        <w:szCs w:val="16"/>
        <w:lang w:eastAsia="pl-PL"/>
      </w:rPr>
      <w:t xml:space="preserve">. </w:t>
    </w:r>
    <w:r w:rsidR="001130F9" w:rsidRPr="001130F9">
      <w:rPr>
        <w:rFonts w:ascii="Arial" w:hAnsi="Arial" w:cs="Arial"/>
        <w:b/>
        <w:bCs/>
        <w:iCs/>
        <w:sz w:val="16"/>
        <w:szCs w:val="16"/>
        <w:lang w:eastAsia="pl-PL"/>
      </w:rPr>
      <w:t>„Przebudowa i nadbudowa budynku usługowo-biurowego z częścią mieszkalną, Przebendów 44, gmina Wadowice Górne”</w:t>
    </w:r>
  </w:p>
  <w:p w:rsidR="00C838F5" w:rsidRPr="009038A0" w:rsidRDefault="002B0A79" w:rsidP="00C838F5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6"/>
        <w:szCs w:val="16"/>
        <w:lang w:eastAsia="pl-PL"/>
      </w:rPr>
    </w:pPr>
  </w:p>
  <w:p w:rsidR="00C838F5" w:rsidRDefault="00A01501" w:rsidP="00C838F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EE6A8" wp14:editId="36E3BB9C">
              <wp:simplePos x="0" y="0"/>
              <wp:positionH relativeFrom="column">
                <wp:posOffset>-13970</wp:posOffset>
              </wp:positionH>
              <wp:positionV relativeFrom="paragraph">
                <wp:posOffset>54610</wp:posOffset>
              </wp:positionV>
              <wp:extent cx="6652895" cy="0"/>
              <wp:effectExtent l="5080" t="6985" r="9525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2F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1pt;margin-top:4.3pt;width:52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" strokecolor="blu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1"/>
  </w:num>
  <w:num w:numId="22">
    <w:abstractNumId w:val="29"/>
  </w:num>
  <w:num w:numId="23">
    <w:abstractNumId w:val="33"/>
  </w:num>
  <w:num w:numId="24">
    <w:abstractNumId w:val="36"/>
  </w:num>
  <w:num w:numId="25">
    <w:abstractNumId w:val="30"/>
  </w:num>
  <w:num w:numId="26">
    <w:abstractNumId w:val="28"/>
  </w:num>
  <w:num w:numId="27">
    <w:abstractNumId w:val="24"/>
  </w:num>
  <w:num w:numId="28">
    <w:abstractNumId w:val="35"/>
  </w:num>
  <w:num w:numId="29">
    <w:abstractNumId w:val="22"/>
  </w:num>
  <w:num w:numId="30">
    <w:abstractNumId w:val="23"/>
  </w:num>
  <w:num w:numId="31">
    <w:abstractNumId w:val="27"/>
  </w:num>
  <w:num w:numId="32">
    <w:abstractNumId w:val="32"/>
  </w:num>
  <w:num w:numId="33">
    <w:abstractNumId w:val="25"/>
  </w:num>
  <w:num w:numId="34">
    <w:abstractNumId w:val="31"/>
  </w:num>
  <w:num w:numId="35">
    <w:abstractNumId w:val="34"/>
  </w:num>
  <w:num w:numId="36">
    <w:abstractNumId w:val="26"/>
  </w:num>
  <w:num w:numId="37">
    <w:abstractNumId w:val="3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D2EE7"/>
    <w:rsid w:val="001130F9"/>
    <w:rsid w:val="0023742C"/>
    <w:rsid w:val="002B0A79"/>
    <w:rsid w:val="00363B6C"/>
    <w:rsid w:val="00390E56"/>
    <w:rsid w:val="0082103B"/>
    <w:rsid w:val="00864B21"/>
    <w:rsid w:val="008A2FFE"/>
    <w:rsid w:val="009132B0"/>
    <w:rsid w:val="00A01501"/>
    <w:rsid w:val="00B767A5"/>
    <w:rsid w:val="00BF2C4D"/>
    <w:rsid w:val="00D11FFD"/>
    <w:rsid w:val="00EB7714"/>
    <w:rsid w:val="00F64467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B6C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4801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uzytkownik</cp:lastModifiedBy>
  <cp:revision>7</cp:revision>
  <dcterms:created xsi:type="dcterms:W3CDTF">2022-10-05T06:50:00Z</dcterms:created>
  <dcterms:modified xsi:type="dcterms:W3CDTF">2022-10-11T05:45:00Z</dcterms:modified>
</cp:coreProperties>
</file>