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6BE" w14:textId="77777777" w:rsidR="00A01501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 w:rsidR="001130F9">
        <w:rPr>
          <w:rFonts w:ascii="Cambria" w:hAnsi="Cambria"/>
          <w:bCs/>
          <w:sz w:val="22"/>
          <w:szCs w:val="20"/>
          <w:lang w:eastAsia="pl-PL"/>
        </w:rPr>
        <w:t>4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3C5B0AC2" w14:textId="465A50EB" w:rsidR="00846E16" w:rsidRPr="001F2CD2" w:rsidRDefault="00846E16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>
        <w:rPr>
          <w:rFonts w:ascii="Cambria" w:hAnsi="Cambria"/>
          <w:bCs/>
          <w:sz w:val="22"/>
          <w:szCs w:val="20"/>
          <w:lang w:eastAsia="pl-PL"/>
        </w:rPr>
        <w:t>Nr postępowania: UG.IR.271.5.2023.ŁS</w:t>
      </w:r>
    </w:p>
    <w:p w14:paraId="1BF4BB0E" w14:textId="77777777" w:rsidR="00A01501" w:rsidRDefault="00A01501" w:rsidP="00A01501">
      <w:pPr>
        <w:rPr>
          <w:rFonts w:ascii="Arial" w:hAnsi="Arial" w:cs="Arial"/>
          <w:sz w:val="20"/>
        </w:rPr>
      </w:pPr>
    </w:p>
    <w:p w14:paraId="16B8CE72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4AD4B465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5D195D62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31205883" w14:textId="344C248C" w:rsidR="00A01501" w:rsidRDefault="00A01501" w:rsidP="008A2F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UG.IR.27</w:t>
      </w:r>
      <w:r w:rsidR="005E2A0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E1CD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.2023.ŁS</w:t>
      </w:r>
    </w:p>
    <w:p w14:paraId="40F0603F" w14:textId="77777777" w:rsidR="008A2FFE" w:rsidRDefault="008A2FFE" w:rsidP="008A2FFE">
      <w:pPr>
        <w:jc w:val="center"/>
        <w:rPr>
          <w:rFonts w:ascii="Arial" w:hAnsi="Arial" w:cs="Arial"/>
          <w:sz w:val="22"/>
        </w:rPr>
      </w:pPr>
    </w:p>
    <w:p w14:paraId="60A935BD" w14:textId="37E04CDC" w:rsidR="00A01501" w:rsidRPr="00F30421" w:rsidRDefault="00A01501" w:rsidP="00A01501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….</w:t>
      </w:r>
      <w:r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eastAsia="Arial" w:hAnsi="Arial" w:cs="Arial"/>
          <w:sz w:val="20"/>
          <w:szCs w:val="20"/>
        </w:rPr>
        <w:t>Gminą Wadowice Górne</w:t>
      </w:r>
      <w:r w:rsidR="00363B6C">
        <w:rPr>
          <w:rFonts w:ascii="Arial" w:eastAsia="Arial" w:hAnsi="Arial" w:cs="Arial"/>
          <w:sz w:val="20"/>
          <w:szCs w:val="20"/>
        </w:rPr>
        <w:t>, 39-308 Wadowice Górne 116, NIP: 8172175250</w:t>
      </w:r>
      <w:r w:rsidR="00F64467">
        <w:rPr>
          <w:rFonts w:ascii="Arial" w:eastAsia="Arial" w:hAnsi="Arial" w:cs="Arial"/>
          <w:sz w:val="20"/>
          <w:szCs w:val="20"/>
        </w:rPr>
        <w:t xml:space="preserve"> w imieniu której działa </w:t>
      </w:r>
      <w:r w:rsidR="00EB35B9">
        <w:rPr>
          <w:rFonts w:ascii="Arial" w:hAnsi="Arial" w:cs="Arial"/>
          <w:b/>
          <w:sz w:val="20"/>
          <w:szCs w:val="20"/>
        </w:rPr>
        <w:t>Urząd Gminy w Wadowicach Górnych, Wadowice Górne 116</w:t>
      </w:r>
      <w:r w:rsidR="00363B6C">
        <w:rPr>
          <w:rFonts w:ascii="Arial" w:hAnsi="Arial" w:cs="Arial"/>
          <w:b/>
          <w:sz w:val="20"/>
          <w:szCs w:val="20"/>
        </w:rPr>
        <w:t xml:space="preserve">, 39-308 Wadowice Górne 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hAnsi="Arial" w:cs="Arial"/>
          <w:sz w:val="20"/>
          <w:szCs w:val="20"/>
        </w:rPr>
        <w:t>reprezentowany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67F803B" w14:textId="4C554B0C" w:rsidR="00A01501" w:rsidRPr="00F30421" w:rsidRDefault="00EB35B9" w:rsidP="00A01501">
      <w:pPr>
        <w:widowControl/>
        <w:numPr>
          <w:ilvl w:val="0"/>
          <w:numId w:val="38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Pana Michała Deptułę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hAnsi="Arial" w:cs="Arial"/>
          <w:b/>
          <w:sz w:val="20"/>
          <w:szCs w:val="20"/>
        </w:rPr>
        <w:t>-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Wójta Gminy Wadowice Górne 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</w:p>
    <w:p w14:paraId="746738D6" w14:textId="665A6C8D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</w:t>
      </w:r>
      <w:r w:rsidR="00EB35B9">
        <w:rPr>
          <w:rFonts w:ascii="Arial" w:eastAsia="Arial" w:hAnsi="Arial" w:cs="Arial"/>
          <w:b/>
          <w:sz w:val="20"/>
          <w:szCs w:val="20"/>
        </w:rPr>
        <w:t>Skarbnika Gminy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390E56">
        <w:rPr>
          <w:rFonts w:ascii="Arial" w:eastAsia="Arial" w:hAnsi="Arial" w:cs="Arial"/>
          <w:b/>
          <w:sz w:val="20"/>
          <w:szCs w:val="20"/>
        </w:rPr>
        <w:t xml:space="preserve">Pani </w:t>
      </w:r>
      <w:r w:rsidR="00EB35B9">
        <w:rPr>
          <w:rFonts w:ascii="Arial" w:eastAsia="Arial" w:hAnsi="Arial" w:cs="Arial"/>
          <w:b/>
          <w:sz w:val="20"/>
          <w:szCs w:val="20"/>
        </w:rPr>
        <w:t>Stanisławy Skrzyniarz</w:t>
      </w:r>
    </w:p>
    <w:p w14:paraId="36FC6F0A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14:paraId="0D3CB1DF" w14:textId="77777777" w:rsidR="00A01501" w:rsidRDefault="00363B6C" w:rsidP="00A0150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C806651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4E21502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404CB0A3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9213EEC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6B77B82D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6AE18B62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69AD2450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3256F8B1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4D8F59CB" w14:textId="77777777" w:rsidR="00864B21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</w:p>
    <w:p w14:paraId="0F74A321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08A2EF6D" w14:textId="56A3C22A" w:rsidR="008A2FFE" w:rsidRPr="00197914" w:rsidRDefault="00A01501" w:rsidP="000E1CD5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8A2FFE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r w:rsidR="000E1CD5" w:rsidRPr="000E1CD5">
        <w:rPr>
          <w:rFonts w:ascii="Arial" w:hAnsi="Arial" w:cs="Arial"/>
          <w:b/>
          <w:i/>
          <w:sz w:val="22"/>
          <w:szCs w:val="22"/>
          <w:lang w:eastAsia="pl-PL"/>
        </w:rPr>
        <w:t>„</w:t>
      </w:r>
      <w:r w:rsidR="000E1CD5" w:rsidRPr="000E1CD5">
        <w:rPr>
          <w:rFonts w:ascii="Arial" w:hAnsi="Arial" w:cs="Arial"/>
          <w:b/>
          <w:bCs/>
          <w:sz w:val="22"/>
          <w:szCs w:val="22"/>
        </w:rPr>
        <w:t>Modernizacja łazienek w budynku Urzędu Gminy w Wadowicach Górnych w celu dostosowania do potrzeb osób niepełnosprawnych oraz przebudowa, rozbudowa i montaż platformy dla osób niepełnosprawnych i starszych w budynku urzędu</w:t>
      </w:r>
      <w:r w:rsidR="000E1CD5" w:rsidRPr="000E1CD5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6DC7D22E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25D727A6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SWZ </w:t>
      </w:r>
    </w:p>
    <w:p w14:paraId="4A18C560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3358C4F3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6F886648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EC8C759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 robót,</w:t>
      </w:r>
    </w:p>
    <w:p w14:paraId="5794907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STWiORB</w:t>
      </w:r>
      <w:proofErr w:type="spellEnd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797673ED" w14:textId="77777777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dokumentacja projektowa,  </w:t>
      </w:r>
    </w:p>
    <w:p w14:paraId="504A375E" w14:textId="77777777" w:rsidR="00A01501" w:rsidRPr="00C47AE7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4A3AFD1F" w14:textId="77777777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dokumentacją projektową i przedmiarem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proofErr w:type="spellStart"/>
      <w:r w:rsidRPr="00B5006A">
        <w:rPr>
          <w:rFonts w:ascii="Calibri" w:hAnsi="Calibri"/>
          <w:color w:val="000000"/>
          <w:kern w:val="0"/>
          <w:sz w:val="22"/>
          <w:szCs w:val="22"/>
        </w:rPr>
        <w:t>STWiORB</w:t>
      </w:r>
      <w:proofErr w:type="spellEnd"/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lastRenderedPageBreak/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14:paraId="540D5E49" w14:textId="77777777" w:rsidR="00A01501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Jeżeli w trakcie wykonywania robót, Zamawiający ograniczy zakres robót, bądź dokona zmian technologii, to wynagrodzenie Wykonawcy będzie korygowane o skutki wynikające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tych zmian wg średnich cen SEKOCENBUD i zgodnie z zasadami kosztorysowania robót budowalnych ( KNR)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. Przy czym zakres rzeczowy przedmiotu umowy nie może ulec ograniczeniu powyżej </w:t>
      </w:r>
      <w:r>
        <w:rPr>
          <w:rFonts w:ascii="Calibri" w:hAnsi="Calibri"/>
          <w:color w:val="000000"/>
          <w:kern w:val="0"/>
          <w:sz w:val="22"/>
          <w:szCs w:val="22"/>
        </w:rPr>
        <w:t>10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%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wartości netto wynagrodzenia Wykonawcy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bez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jego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zgody.</w:t>
      </w:r>
    </w:p>
    <w:p w14:paraId="1FE6F010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dokumentacją prace i roboty budowlane, niezbędne do realizacji przedmiotu umowy. </w:t>
      </w:r>
    </w:p>
    <w:p w14:paraId="79944B9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Przedmiar robót ma charakter pomocniczy i nie stanowi opisu przedmiotu zamówienia. Przedmiar robót nie determinuje zakresu prac objętych przedmiotem zamówienia. Zawarte w Przedmiarze robót zestawienia mają jedynie zobrazować skalę robót i pomóc Wykonawcom w oszacowaniu kosztów inwestycji. </w:t>
      </w:r>
    </w:p>
    <w:p w14:paraId="4925898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401A8CA9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593103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05E16872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37090D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0706CA2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14:paraId="740439FF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6131DF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1658915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3F48D122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78BCB68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79074E9D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285FC437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7CF72A19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31170329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AE0FBF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042ECB7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12401F1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5C28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F344A40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04113C3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2440B27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610B9C47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późn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. zm.) tj. czynności pracowników fizycznych - monterów instalacji i pracowników robót ogólnobudowlanych. </w:t>
      </w:r>
    </w:p>
    <w:p w14:paraId="1577453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1BA6CDEF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69370ED5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0040E663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54D311BF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405CA58E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3D48004B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0E40109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4AC863EA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4ADEEAA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1FA99D6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4907D08E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BD8BF8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5537DBF5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5AFE17E6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60E7C0D9" w14:textId="77777777" w:rsidR="00A01501" w:rsidRPr="00C47AE7" w:rsidRDefault="00864B21" w:rsidP="00864B21">
      <w:pPr>
        <w:widowControl/>
        <w:overflowPunct/>
        <w:spacing w:after="120"/>
        <w:ind w:left="2832" w:firstLine="708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lastRenderedPageBreak/>
        <w:t xml:space="preserve">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6. Odbiory.</w:t>
      </w:r>
    </w:p>
    <w:p w14:paraId="35DE2D0F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27736554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110308EE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C7A5BE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3D2413F8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2C1ED847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365BE4B3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7E6176BF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14:paraId="7C1587C7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106CA03" w14:textId="77777777" w:rsidR="00A01501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7. Płatności</w:t>
      </w:r>
      <w:r w:rsidR="00A01501">
        <w:rPr>
          <w:rFonts w:ascii="Calibri" w:hAnsi="Calibri"/>
          <w:b/>
          <w:color w:val="auto"/>
          <w:kern w:val="0"/>
          <w:sz w:val="22"/>
          <w:szCs w:val="22"/>
        </w:rPr>
        <w:t xml:space="preserve"> i cesja wierzytelności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</w:t>
      </w:r>
    </w:p>
    <w:p w14:paraId="5C80C482" w14:textId="77777777" w:rsidR="00A01501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2FF8CE3" w14:textId="77777777" w:rsidR="00864B21" w:rsidRPr="00C47AE7" w:rsidRDefault="00A01501" w:rsidP="00864B2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Płatność odbędzie się po zrealizowaniu całego zadania w oparciu o fakturę końcową.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końcowej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końcowego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inspektora nadzoru, przedstawiciela Zamawiającego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W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30CCBC41" w14:textId="77777777" w:rsidR="00864B21" w:rsidRPr="00A82011" w:rsidRDefault="00A01501" w:rsidP="00864B21">
      <w:pPr>
        <w:widowControl/>
        <w:overflowPunct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</w:t>
      </w:r>
      <w:r w:rsidR="00864B21" w:rsidRPr="00A82011"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dopuszcza możliwość częściowego finansowania wykonanych prac.</w:t>
      </w:r>
    </w:p>
    <w:p w14:paraId="395ED0A5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częściowej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częściowego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 xml:space="preserve">inspektora nadzoru,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przedstawiciela Zamawiającego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5772B4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sobie prawo rozliczenia płatności wynikających z umowy za pośrednictwem metody podzielonej płatności przewidziane w przepisach ustawy o podatku od towarów i usług.</w:t>
      </w:r>
    </w:p>
    <w:p w14:paraId="47C3F465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rachunek bankowy wskazany w umowie:</w:t>
      </w:r>
    </w:p>
    <w:p w14:paraId="4383A9F9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a)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umożliwiającym płatność w ramach mechanizmu podzielonej płatności, o której mowa powyżej,</w:t>
      </w:r>
    </w:p>
    <w:p w14:paraId="2D1C82C9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b)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39D21DE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Wynagrodzenie należne Wykonawcy za wykonanie umowy płatne będzie przez Zamawiającego na rachune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k bankowy Wykonawcy o numerze </w:t>
      </w:r>
      <w:r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, w </w:t>
      </w:r>
      <w:r>
        <w:rPr>
          <w:rFonts w:ascii="Calibri" w:hAnsi="Calibri"/>
          <w:color w:val="auto"/>
          <w:kern w:val="0"/>
          <w:sz w:val="22"/>
          <w:szCs w:val="22"/>
        </w:rPr>
        <w:t>terminie do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3</w:t>
      </w:r>
      <w:r w:rsidR="00BF2C4D">
        <w:rPr>
          <w:rFonts w:ascii="Calibri" w:hAnsi="Calibri"/>
          <w:color w:val="auto"/>
          <w:kern w:val="0"/>
          <w:sz w:val="22"/>
          <w:szCs w:val="22"/>
        </w:rPr>
        <w:t>0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dni od otrzymania przez Zamawiającego prawidłowo wystawionej faktury VAT.</w:t>
      </w:r>
    </w:p>
    <w:p w14:paraId="4CD117CE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0C8B163A" w14:textId="77777777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4EE0611F" w14:textId="0269C318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8350D6">
        <w:rPr>
          <w:rFonts w:ascii="Calibri" w:hAnsi="Calibri"/>
          <w:color w:val="auto"/>
          <w:kern w:val="0"/>
          <w:sz w:val="22"/>
          <w:szCs w:val="22"/>
        </w:rPr>
        <w:t>Gmina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8172175250</w:t>
      </w:r>
    </w:p>
    <w:p w14:paraId="10FAC8FE" w14:textId="2E7783D0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>Urząd Gminy w Wadowicach Górnych, Wadowice Górne 116,  39-308 Wadowice Górne</w:t>
      </w:r>
      <w:r w:rsidR="008350D6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  <w:r w:rsidR="00EB7714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</w:p>
    <w:p w14:paraId="7FFD6CDF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8.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 datę dokonania płatności uważa się datę przekazania polecenia przelewu.</w:t>
      </w:r>
    </w:p>
    <w:p w14:paraId="3846947C" w14:textId="77777777" w:rsidR="00A01501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9.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Strony postanawiają, iż w przypadku niewykonania przez Wykonawcę robót odpowiadających wartości wynagrodzenia określonego w § 5 ust. 1 z powodu zmniejszenia zakresu rzeczowego robót, Wykonawca nie ma prawa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żądania zapłaty pozostałej części wynagrodzenia i nie przysługują mu żadne roszczenia odszkodowawcze wobec Zamawiającego w tym zakresie. W takim przypadku Zamawiający zapłaci na rzecz Wykonawcy wynagrodzenie, które ulegnie odpowiedniemu zmniejszeniu w stosunku do wynagrodzenia określonego w § 5 ust.1, co Wykonawca uznaje i akceptuje.</w:t>
      </w:r>
    </w:p>
    <w:p w14:paraId="06BB1B10" w14:textId="77777777" w:rsidR="00A01501" w:rsidRPr="00BF4310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10. Wykonawca nie może zbywać na rzecz osób trzecich praw i wierzytelności powstałych w wyniku realizacji niniejszej umowy bez zgody Zamawiającego, wyrażonej na piśmie pod rygorem nieważności.</w:t>
      </w:r>
    </w:p>
    <w:p w14:paraId="5309E94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3E468EE0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14:paraId="33E3F18E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4AB6A7AE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Pan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5C4BA8E8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9BBF4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14:paraId="3B069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073AD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77B5F65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1AB812FE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14:paraId="22BD5458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5459850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0951BF0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2019523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067310EC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075CEF86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135DAD9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0BD93F64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2861A863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458595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0BC072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386A440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5FC0552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708F6AC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48FFEAD9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14:paraId="1CE1543C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0B694DA1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61D3C612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14627D4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216DC7D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0B9961C6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6489F6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80E47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64E8AE2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D6E11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2AE5E3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661FF6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89124C9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333CF63B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4BF0CA6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705526A0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0DB7BEAA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Strony zastrzegają sobie prawo do odszkodowania na zasadach ogólnych, o ile wartość faktycznie poniesionych szkód przekracza wysokość kar umownych.</w:t>
      </w:r>
    </w:p>
    <w:p w14:paraId="5D1A410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33D3EAC" w14:textId="77777777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14:paraId="6F9A2EDD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0904C11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16701295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64858A5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7218E58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02A2F2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2D60C7F6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74E3F072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678C3B93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09D6617A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00664E74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6FDC766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77B74B72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4DD65092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31DDCA2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24A02CB5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2FDFD1A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3879D7F8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355F0DB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1A9D663E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236826AD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6DA07FA1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przejęcia od Wykonawcy pod swój dozór terenu budowy.</w:t>
      </w:r>
    </w:p>
    <w:p w14:paraId="414D39F3" w14:textId="77777777" w:rsidR="00864B21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AB4FFDC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14:paraId="1CC879EF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51FA8596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12E3BB7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459A7966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230235B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1BC94A1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142BA9F3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6A238A1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7075AB1C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6D323CB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B4F4551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6B23075E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9DEA446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D50E67A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13A6900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77EFBE0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niepodlegający niniejszemu obowiązkowi. Wyłączenie, o którym mowa w zdaniu pierwszym, nie dotyczy umów o podwykonawstwo o wartości większej niż 50.000 zł.</w:t>
      </w:r>
    </w:p>
    <w:p w14:paraId="435AAEF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08F74D6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1261B5E0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498B0819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5C289FC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3347FC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50160F04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794AE89D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49CAB8E9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01248F73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729FE938" w14:textId="77777777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7BC2F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027AB25C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38191DC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3697670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695785CD" w14:textId="77777777" w:rsidR="00A01501" w:rsidRPr="00C47AE7" w:rsidRDefault="00A01501" w:rsidP="00A01501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B4EDA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14:paraId="010DF3E4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0F522B9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5E5F682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0D2B377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4DFA735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1C27BE8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3BC5066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094651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27F6962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39EBCAA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25CA837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652276C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76335E2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2BAFB7F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0F304DD4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4B26771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1DB456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2A70B49B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40CD6245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223FC13E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02E528A4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>Okoliczności określone w ust. 1 stanowią warunki zmiany umowy, o których mowa w art. 455 ust. 1 pkt 1 ustawy PZP w przypadku wystąpienia takiej okoliczności.</w:t>
      </w:r>
    </w:p>
    <w:p w14:paraId="2C54C92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4BB507F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7AFFDE81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4507EF27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5C6E8169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1667759C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1A179AB2" w14:textId="77777777" w:rsidR="00864B21" w:rsidRDefault="00864B2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6965AE9" w14:textId="77777777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14. Zabezpieczenie należytego wykonania umowy</w:t>
      </w:r>
    </w:p>
    <w:p w14:paraId="212A519F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6F8A045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1CD59E0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4A1C485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3A0FE44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0EB489B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14:paraId="3F145E91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0B7CAAC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48B086C8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372F957A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3786359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32C304F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7EA2AE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421ADEB3" w14:textId="77777777"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1BDE5C76" w14:textId="77777777"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3C8DCFC4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2768752F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6D6463E3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F58F72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530F28A0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07967392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31DC5BAA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B5685D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6371AF4B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1DD1B013" w14:textId="5EE3B285" w:rsidR="009132B0" w:rsidRDefault="005E2A06">
      <w:r>
        <w:rPr>
          <w:rFonts w:asciiTheme="minorHAnsi" w:hAnsiTheme="minorHAnsi" w:cstheme="minorHAnsi"/>
          <w:b/>
        </w:rPr>
        <w:t xml:space="preserve">                                                                                 Skarbnika Gminy</w:t>
      </w:r>
    </w:p>
    <w:sectPr w:rsidR="009132B0" w:rsidSect="00C83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BD63" w14:textId="77777777" w:rsidR="0023742C" w:rsidRDefault="0082103B">
      <w:r>
        <w:separator/>
      </w:r>
    </w:p>
  </w:endnote>
  <w:endnote w:type="continuationSeparator" w:id="0">
    <w:p w14:paraId="31D65584" w14:textId="77777777" w:rsidR="0023742C" w:rsidRDefault="008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EA4" w14:textId="77777777" w:rsidR="00387C3E" w:rsidRDefault="00387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4331" w14:textId="77777777" w:rsidR="00155978" w:rsidRDefault="00A0150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B0A79">
      <w:rPr>
        <w:noProof/>
      </w:rPr>
      <w:t>2</w:t>
    </w:r>
    <w:r>
      <w:fldChar w:fldCharType="end"/>
    </w:r>
  </w:p>
  <w:p w14:paraId="0D3788B8" w14:textId="0D0442E0" w:rsidR="00155978" w:rsidRDefault="00387C3E">
    <w:pPr>
      <w:pStyle w:val="Stopka"/>
      <w:widowControl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962B1" wp14:editId="173F9B17">
          <wp:simplePos x="0" y="0"/>
          <wp:positionH relativeFrom="column">
            <wp:posOffset>4391025</wp:posOffset>
          </wp:positionH>
          <wp:positionV relativeFrom="paragraph">
            <wp:posOffset>9525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CD5">
      <w:rPr>
        <w:noProof/>
      </w:rPr>
      <w:drawing>
        <wp:inline distT="0" distB="0" distL="0" distR="0" wp14:anchorId="02802715" wp14:editId="2E97427F">
          <wp:extent cx="1371600" cy="670560"/>
          <wp:effectExtent l="0" t="0" r="0" b="0"/>
          <wp:docPr id="1323417815" name="Obraz 1323417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352C" w14:textId="77777777" w:rsidR="00387C3E" w:rsidRDefault="00387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8DEA" w14:textId="77777777" w:rsidR="0023742C" w:rsidRDefault="0082103B">
      <w:r>
        <w:separator/>
      </w:r>
    </w:p>
  </w:footnote>
  <w:footnote w:type="continuationSeparator" w:id="0">
    <w:p w14:paraId="74019C72" w14:textId="77777777" w:rsidR="0023742C" w:rsidRDefault="008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2BE" w14:textId="77777777" w:rsidR="00387C3E" w:rsidRDefault="00387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E110" w14:textId="77777777" w:rsidR="00C838F5" w:rsidRDefault="00387C3E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74C1CB18" w14:textId="77777777" w:rsidR="000E1CD5" w:rsidRDefault="000E1CD5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7F9C7429" w14:textId="77777777" w:rsidR="00846E16" w:rsidRDefault="000E1CD5" w:rsidP="00846E1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  <w:lang w:eastAsia="pl-PL"/>
      </w:rPr>
    </w:pPr>
    <w:r>
      <w:rPr>
        <w:rFonts w:ascii="Arial" w:hAnsi="Arial" w:cs="Arial"/>
        <w:noProof/>
        <w:color w:val="000000" w:themeColor="text1"/>
        <w:lang w:eastAsia="pl-PL"/>
      </w:rPr>
      <w:drawing>
        <wp:inline distT="0" distB="0" distL="0" distR="0" wp14:anchorId="18276A04" wp14:editId="3B1ACE1B">
          <wp:extent cx="5194300" cy="670560"/>
          <wp:effectExtent l="0" t="0" r="0" b="0"/>
          <wp:docPr id="894914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6E16" w:rsidRPr="00846E16">
      <w:rPr>
        <w:rFonts w:eastAsia="MS Mincho"/>
        <w:bCs/>
        <w:iCs/>
        <w:sz w:val="28"/>
        <w:szCs w:val="28"/>
        <w:lang w:eastAsia="pl-PL"/>
      </w:rPr>
      <w:t xml:space="preserve"> </w:t>
    </w:r>
  </w:p>
  <w:p w14:paraId="2E17ACF7" w14:textId="0369743A" w:rsidR="00846E16" w:rsidRPr="000F4CA6" w:rsidRDefault="00846E16" w:rsidP="00846E1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  <w:lang w:eastAsia="pl-PL"/>
      </w:rPr>
    </w:pPr>
    <w:r w:rsidRPr="000F4CA6">
      <w:rPr>
        <w:rFonts w:eastAsia="MS Mincho"/>
        <w:bCs/>
        <w:iCs/>
        <w:sz w:val="28"/>
        <w:szCs w:val="28"/>
        <w:lang w:eastAsia="pl-PL"/>
      </w:rPr>
      <w:t>Dostępny samorząd – granty</w:t>
    </w:r>
  </w:p>
  <w:p w14:paraId="12A50C56" w14:textId="5D535D04" w:rsidR="00C838F5" w:rsidRPr="00846E16" w:rsidRDefault="00387C3E" w:rsidP="00846E16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8AC" w14:textId="77777777" w:rsidR="00387C3E" w:rsidRDefault="00387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0813">
    <w:abstractNumId w:val="0"/>
  </w:num>
  <w:num w:numId="2" w16cid:durableId="429082733">
    <w:abstractNumId w:val="1"/>
  </w:num>
  <w:num w:numId="3" w16cid:durableId="970867598">
    <w:abstractNumId w:val="2"/>
  </w:num>
  <w:num w:numId="4" w16cid:durableId="516192187">
    <w:abstractNumId w:val="3"/>
  </w:num>
  <w:num w:numId="5" w16cid:durableId="878205671">
    <w:abstractNumId w:val="4"/>
  </w:num>
  <w:num w:numId="6" w16cid:durableId="623541328">
    <w:abstractNumId w:val="5"/>
  </w:num>
  <w:num w:numId="7" w16cid:durableId="117338708">
    <w:abstractNumId w:val="6"/>
  </w:num>
  <w:num w:numId="8" w16cid:durableId="1522889181">
    <w:abstractNumId w:val="7"/>
  </w:num>
  <w:num w:numId="9" w16cid:durableId="835851565">
    <w:abstractNumId w:val="8"/>
  </w:num>
  <w:num w:numId="10" w16cid:durableId="1760640922">
    <w:abstractNumId w:val="9"/>
  </w:num>
  <w:num w:numId="11" w16cid:durableId="461381837">
    <w:abstractNumId w:val="10"/>
  </w:num>
  <w:num w:numId="12" w16cid:durableId="1941138609">
    <w:abstractNumId w:val="11"/>
  </w:num>
  <w:num w:numId="13" w16cid:durableId="1502693810">
    <w:abstractNumId w:val="12"/>
  </w:num>
  <w:num w:numId="14" w16cid:durableId="2146577668">
    <w:abstractNumId w:val="13"/>
  </w:num>
  <w:num w:numId="15" w16cid:durableId="1280724057">
    <w:abstractNumId w:val="14"/>
  </w:num>
  <w:num w:numId="16" w16cid:durableId="304244137">
    <w:abstractNumId w:val="15"/>
  </w:num>
  <w:num w:numId="17" w16cid:durableId="1830901911">
    <w:abstractNumId w:val="16"/>
  </w:num>
  <w:num w:numId="18" w16cid:durableId="1039472228">
    <w:abstractNumId w:val="17"/>
  </w:num>
  <w:num w:numId="19" w16cid:durableId="1902137062">
    <w:abstractNumId w:val="19"/>
  </w:num>
  <w:num w:numId="20" w16cid:durableId="224265043">
    <w:abstractNumId w:val="20"/>
  </w:num>
  <w:num w:numId="21" w16cid:durableId="1313145526">
    <w:abstractNumId w:val="21"/>
  </w:num>
  <w:num w:numId="22" w16cid:durableId="660354847">
    <w:abstractNumId w:val="29"/>
  </w:num>
  <w:num w:numId="23" w16cid:durableId="904221361">
    <w:abstractNumId w:val="33"/>
  </w:num>
  <w:num w:numId="24" w16cid:durableId="1776442552">
    <w:abstractNumId w:val="36"/>
  </w:num>
  <w:num w:numId="25" w16cid:durableId="623198980">
    <w:abstractNumId w:val="30"/>
  </w:num>
  <w:num w:numId="26" w16cid:durableId="300890711">
    <w:abstractNumId w:val="28"/>
  </w:num>
  <w:num w:numId="27" w16cid:durableId="996298415">
    <w:abstractNumId w:val="24"/>
  </w:num>
  <w:num w:numId="28" w16cid:durableId="660693696">
    <w:abstractNumId w:val="35"/>
  </w:num>
  <w:num w:numId="29" w16cid:durableId="1904022609">
    <w:abstractNumId w:val="22"/>
  </w:num>
  <w:num w:numId="30" w16cid:durableId="2010866500">
    <w:abstractNumId w:val="23"/>
  </w:num>
  <w:num w:numId="31" w16cid:durableId="520314249">
    <w:abstractNumId w:val="27"/>
  </w:num>
  <w:num w:numId="32" w16cid:durableId="1991521491">
    <w:abstractNumId w:val="32"/>
  </w:num>
  <w:num w:numId="33" w16cid:durableId="2132430447">
    <w:abstractNumId w:val="25"/>
  </w:num>
  <w:num w:numId="34" w16cid:durableId="1747922234">
    <w:abstractNumId w:val="31"/>
  </w:num>
  <w:num w:numId="35" w16cid:durableId="1772510922">
    <w:abstractNumId w:val="34"/>
  </w:num>
  <w:num w:numId="36" w16cid:durableId="1582786929">
    <w:abstractNumId w:val="26"/>
  </w:num>
  <w:num w:numId="37" w16cid:durableId="1365016205">
    <w:abstractNumId w:val="37"/>
  </w:num>
  <w:num w:numId="38" w16cid:durableId="16338236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01"/>
    <w:rsid w:val="000D2EE7"/>
    <w:rsid w:val="000E1CD5"/>
    <w:rsid w:val="001130F9"/>
    <w:rsid w:val="0023742C"/>
    <w:rsid w:val="002B0A79"/>
    <w:rsid w:val="00363B6C"/>
    <w:rsid w:val="00387C3E"/>
    <w:rsid w:val="00390E56"/>
    <w:rsid w:val="005E2A06"/>
    <w:rsid w:val="0082103B"/>
    <w:rsid w:val="008350D6"/>
    <w:rsid w:val="00846E16"/>
    <w:rsid w:val="00864B21"/>
    <w:rsid w:val="008A2FFE"/>
    <w:rsid w:val="009132B0"/>
    <w:rsid w:val="00A01501"/>
    <w:rsid w:val="00B767A5"/>
    <w:rsid w:val="00BF2C4D"/>
    <w:rsid w:val="00D11FFD"/>
    <w:rsid w:val="00EB35B9"/>
    <w:rsid w:val="00EB7714"/>
    <w:rsid w:val="00F64467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D606B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B6C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4833</Words>
  <Characters>29004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Łukasz Skiba</cp:lastModifiedBy>
  <cp:revision>13</cp:revision>
  <dcterms:created xsi:type="dcterms:W3CDTF">2022-10-05T06:50:00Z</dcterms:created>
  <dcterms:modified xsi:type="dcterms:W3CDTF">2023-05-10T09:54:00Z</dcterms:modified>
</cp:coreProperties>
</file>